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8FC2" w14:textId="77777777" w:rsidR="008978C6" w:rsidRDefault="008978C6" w:rsidP="008978C6"/>
    <w:p w14:paraId="47ADBB80" w14:textId="55A3FC94" w:rsidR="008978C6" w:rsidRPr="00573DEE" w:rsidRDefault="008978C6" w:rsidP="008978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8BECA95" wp14:editId="42E70978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581024</wp:posOffset>
                </wp:positionV>
                <wp:extent cx="6257925" cy="0"/>
                <wp:effectExtent l="0" t="0" r="0" b="0"/>
                <wp:wrapNone/>
                <wp:docPr id="47483743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E0E03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24B6E4" wp14:editId="0CD5838F">
                <wp:simplePos x="0" y="0"/>
                <wp:positionH relativeFrom="column">
                  <wp:posOffset>-104775</wp:posOffset>
                </wp:positionH>
                <wp:positionV relativeFrom="paragraph">
                  <wp:posOffset>-152401</wp:posOffset>
                </wp:positionV>
                <wp:extent cx="6257925" cy="0"/>
                <wp:effectExtent l="0" t="0" r="0" b="0"/>
                <wp:wrapNone/>
                <wp:docPr id="26264626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3CDDC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573DEE">
        <w:rPr>
          <w:rFonts w:ascii="Times New Roman" w:hAnsi="Times New Roman" w:cs="Times New Roman"/>
          <w:b/>
          <w:sz w:val="28"/>
          <w:szCs w:val="24"/>
        </w:rPr>
        <w:t>Summary of Content Changes</w:t>
      </w:r>
      <w:r w:rsidRPr="00573DEE">
        <w:rPr>
          <w:rFonts w:ascii="Times New Roman" w:hAnsi="Times New Roman" w:cs="Times New Roman"/>
          <w:b/>
          <w:sz w:val="28"/>
          <w:szCs w:val="24"/>
        </w:rPr>
        <w:br/>
        <w:t>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573DEE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573DEE">
        <w:rPr>
          <w:rFonts w:ascii="Times New Roman" w:hAnsi="Times New Roman" w:cs="Times New Roman"/>
          <w:b/>
          <w:sz w:val="28"/>
          <w:szCs w:val="24"/>
        </w:rPr>
        <w:t xml:space="preserve"> Update – </w:t>
      </w:r>
      <w:r w:rsidR="00956709">
        <w:rPr>
          <w:rFonts w:ascii="Times New Roman" w:hAnsi="Times New Roman" w:cs="Times New Roman"/>
          <w:b/>
          <w:sz w:val="28"/>
          <w:szCs w:val="24"/>
        </w:rPr>
        <w:t xml:space="preserve">February </w:t>
      </w:r>
      <w:r>
        <w:rPr>
          <w:rFonts w:ascii="Times New Roman" w:hAnsi="Times New Roman" w:cs="Times New Roman"/>
          <w:b/>
          <w:sz w:val="28"/>
          <w:szCs w:val="24"/>
        </w:rPr>
        <w:t>2025</w:t>
      </w:r>
    </w:p>
    <w:p w14:paraId="6EFEF5EA" w14:textId="77777777" w:rsidR="008978C6" w:rsidRPr="00573DEE" w:rsidRDefault="008978C6" w:rsidP="008978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CF8BC" w14:textId="77777777" w:rsidR="008978C6" w:rsidRPr="00573DEE" w:rsidRDefault="008978C6" w:rsidP="008978C6">
      <w:pPr>
        <w:rPr>
          <w:rFonts w:cstheme="minorHAnsi"/>
          <w:b/>
          <w:sz w:val="24"/>
          <w:szCs w:val="24"/>
          <w:u w:val="single"/>
        </w:rPr>
      </w:pPr>
      <w:r w:rsidRPr="00573DEE">
        <w:rPr>
          <w:rFonts w:cstheme="minorHAnsi"/>
          <w:b/>
          <w:sz w:val="24"/>
          <w:szCs w:val="24"/>
          <w:u w:val="single"/>
        </w:rPr>
        <w:t>General Notes</w:t>
      </w:r>
    </w:p>
    <w:p w14:paraId="1DB8F582" w14:textId="61927AFE" w:rsidR="00147B35" w:rsidRDefault="00945EE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brief update includes revisions to the </w:t>
      </w:r>
      <w:r w:rsidR="00674ABB">
        <w:rPr>
          <w:rFonts w:cstheme="minorHAnsi"/>
          <w:bCs/>
          <w:sz w:val="24"/>
          <w:szCs w:val="24"/>
        </w:rPr>
        <w:t xml:space="preserve">OFAC Policy (2145) and the </w:t>
      </w:r>
      <w:r w:rsidR="00310328">
        <w:rPr>
          <w:rFonts w:cstheme="minorHAnsi"/>
          <w:bCs/>
          <w:sz w:val="24"/>
          <w:szCs w:val="24"/>
        </w:rPr>
        <w:t>Security Record R</w:t>
      </w:r>
      <w:r w:rsidR="00893247">
        <w:rPr>
          <w:rFonts w:cstheme="minorHAnsi"/>
          <w:bCs/>
          <w:sz w:val="24"/>
          <w:szCs w:val="24"/>
        </w:rPr>
        <w:t xml:space="preserve">etention table </w:t>
      </w:r>
      <w:r w:rsidR="00674ABB">
        <w:rPr>
          <w:rFonts w:cstheme="minorHAnsi"/>
          <w:bCs/>
          <w:sz w:val="24"/>
          <w:szCs w:val="24"/>
        </w:rPr>
        <w:t>(</w:t>
      </w:r>
      <w:r w:rsidR="00310328">
        <w:rPr>
          <w:rFonts w:cstheme="minorHAnsi"/>
          <w:bCs/>
          <w:sz w:val="24"/>
          <w:szCs w:val="24"/>
        </w:rPr>
        <w:t xml:space="preserve">10010) </w:t>
      </w:r>
      <w:r w:rsidR="00D91FB1">
        <w:rPr>
          <w:rFonts w:cstheme="minorHAnsi"/>
          <w:bCs/>
          <w:sz w:val="24"/>
          <w:szCs w:val="24"/>
        </w:rPr>
        <w:t>for certain OFAC</w:t>
      </w:r>
      <w:r w:rsidR="00C968FD">
        <w:rPr>
          <w:rFonts w:cstheme="minorHAnsi"/>
          <w:bCs/>
          <w:sz w:val="24"/>
          <w:szCs w:val="24"/>
        </w:rPr>
        <w:t xml:space="preserve"> blocked property</w:t>
      </w:r>
      <w:r w:rsidR="00D91FB1">
        <w:rPr>
          <w:rFonts w:cstheme="minorHAnsi"/>
          <w:bCs/>
          <w:sz w:val="24"/>
          <w:szCs w:val="24"/>
        </w:rPr>
        <w:t xml:space="preserve"> records from five years to 10 years based on a </w:t>
      </w:r>
      <w:hyperlink r:id="rId4" w:anchor="sectno-citation-501.601" w:history="1">
        <w:r w:rsidR="00D91FB1" w:rsidRPr="00D17B1D">
          <w:rPr>
            <w:rStyle w:val="Hyperlink"/>
            <w:rFonts w:cstheme="minorHAnsi"/>
            <w:bCs/>
            <w:sz w:val="24"/>
            <w:szCs w:val="24"/>
          </w:rPr>
          <w:t>regulatory change effective on March 12, 2025.</w:t>
        </w:r>
      </w:hyperlink>
    </w:p>
    <w:p w14:paraId="507983C6" w14:textId="77777777" w:rsidR="00935A07" w:rsidRDefault="00935A07">
      <w:pPr>
        <w:rPr>
          <w:rFonts w:cstheme="minorHAnsi"/>
          <w:bCs/>
          <w:sz w:val="24"/>
          <w:szCs w:val="24"/>
        </w:rPr>
      </w:pPr>
    </w:p>
    <w:p w14:paraId="4082A45B" w14:textId="08DFB736" w:rsidR="00935A07" w:rsidRDefault="00935A07" w:rsidP="00935A0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Policy 2145 – Office of Foreign Assets Control</w:t>
      </w:r>
    </w:p>
    <w:p w14:paraId="6EE7FC11" w14:textId="24795DF9" w:rsidR="00935A07" w:rsidRDefault="00935A07" w:rsidP="00935A0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2025-1</w:t>
      </w:r>
    </w:p>
    <w:p w14:paraId="54BDFD2E" w14:textId="7871875F" w:rsidR="00935A07" w:rsidRDefault="00935A07" w:rsidP="00935A07">
      <w:pPr>
        <w:spacing w:after="0"/>
      </w:pPr>
      <w:r>
        <w:t>This policy was updated to reflect the revised retention requirement</w:t>
      </w:r>
      <w:r w:rsidR="00117EF9">
        <w:t xml:space="preserve"> of 10 years for OFAC</w:t>
      </w:r>
      <w:r w:rsidR="00EE445F">
        <w:t xml:space="preserve"> blocked property.</w:t>
      </w:r>
    </w:p>
    <w:p w14:paraId="17A6A1DC" w14:textId="77777777" w:rsidR="00935A07" w:rsidRPr="00DD2B60" w:rsidRDefault="00935A07" w:rsidP="00935A07">
      <w:pPr>
        <w:spacing w:after="0"/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>
        <w:rPr>
          <w:rFonts w:cstheme="minorHAnsi"/>
          <w:b/>
          <w:bCs/>
          <w:color w:val="FF0000"/>
          <w:sz w:val="24"/>
          <w:szCs w:val="24"/>
        </w:rPr>
        <w:t>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79B8C5A1" w14:textId="77777777" w:rsidR="00935A07" w:rsidRDefault="00935A07">
      <w:pPr>
        <w:rPr>
          <w:rFonts w:cstheme="minorHAnsi"/>
          <w:bCs/>
          <w:sz w:val="24"/>
          <w:szCs w:val="24"/>
        </w:rPr>
      </w:pPr>
    </w:p>
    <w:p w14:paraId="493FF521" w14:textId="60C0888E" w:rsidR="00935A07" w:rsidRDefault="00935A07" w:rsidP="00935A0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Policy 100</w:t>
      </w:r>
      <w:r w:rsidR="0005124D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– Records Retention Table </w:t>
      </w:r>
      <w:r w:rsidR="0005124D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: </w:t>
      </w:r>
      <w:r w:rsidR="0005124D">
        <w:rPr>
          <w:b/>
          <w:bCs/>
          <w:u w:val="single"/>
        </w:rPr>
        <w:t>Security Records</w:t>
      </w:r>
    </w:p>
    <w:p w14:paraId="35ABC63C" w14:textId="15369742" w:rsidR="00935A07" w:rsidRDefault="00935A07" w:rsidP="00935A0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202</w:t>
      </w:r>
      <w:r w:rsidR="0005124D">
        <w:rPr>
          <w:rFonts w:cstheme="minorHAnsi"/>
          <w:b/>
          <w:sz w:val="24"/>
          <w:szCs w:val="24"/>
          <w:u w:val="single"/>
        </w:rPr>
        <w:t>5-1</w:t>
      </w:r>
    </w:p>
    <w:p w14:paraId="64D549CA" w14:textId="77777777" w:rsidR="0005124D" w:rsidRDefault="0005124D" w:rsidP="0005124D">
      <w:pPr>
        <w:spacing w:after="0"/>
      </w:pPr>
      <w:r>
        <w:t>This policy was updated to reflect the revised retention requirement of 10 years for OFAC blocked property.</w:t>
      </w:r>
    </w:p>
    <w:p w14:paraId="657CC44A" w14:textId="77777777" w:rsidR="0005124D" w:rsidRPr="00DD2B60" w:rsidRDefault="0005124D" w:rsidP="0005124D">
      <w:pPr>
        <w:spacing w:after="0"/>
      </w:pPr>
      <w:r w:rsidRPr="00573DEE">
        <w:rPr>
          <w:rFonts w:cstheme="minorHAnsi"/>
          <w:b/>
          <w:bCs/>
          <w:color w:val="FF0000"/>
          <w:sz w:val="24"/>
          <w:szCs w:val="24"/>
        </w:rPr>
        <w:t>(Re</w:t>
      </w:r>
      <w:r>
        <w:rPr>
          <w:rFonts w:cstheme="minorHAnsi"/>
          <w:b/>
          <w:bCs/>
          <w:color w:val="FF0000"/>
          <w:sz w:val="24"/>
          <w:szCs w:val="24"/>
        </w:rPr>
        <w:t>commended</w:t>
      </w:r>
      <w:r w:rsidRPr="00573DEE">
        <w:rPr>
          <w:rFonts w:cstheme="minorHAnsi"/>
          <w:b/>
          <w:bCs/>
          <w:color w:val="FF0000"/>
          <w:sz w:val="24"/>
          <w:szCs w:val="24"/>
        </w:rPr>
        <w:t>)</w:t>
      </w:r>
    </w:p>
    <w:p w14:paraId="6B9EE18E" w14:textId="77777777" w:rsidR="00935A07" w:rsidRDefault="00935A07"/>
    <w:p w14:paraId="3BF3F613" w14:textId="77777777" w:rsidR="00935A07" w:rsidRDefault="00935A07"/>
    <w:sectPr w:rsidR="0093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C6"/>
    <w:rsid w:val="0005124D"/>
    <w:rsid w:val="00117EF9"/>
    <w:rsid w:val="00147B35"/>
    <w:rsid w:val="002C6E8A"/>
    <w:rsid w:val="00310328"/>
    <w:rsid w:val="003A46CC"/>
    <w:rsid w:val="0042083A"/>
    <w:rsid w:val="00510527"/>
    <w:rsid w:val="00674ABB"/>
    <w:rsid w:val="00744826"/>
    <w:rsid w:val="00893247"/>
    <w:rsid w:val="008978C6"/>
    <w:rsid w:val="00935A07"/>
    <w:rsid w:val="00945EE4"/>
    <w:rsid w:val="00956709"/>
    <w:rsid w:val="00AD4AFC"/>
    <w:rsid w:val="00C968FD"/>
    <w:rsid w:val="00D17B1D"/>
    <w:rsid w:val="00D91FB1"/>
    <w:rsid w:val="00E61CE5"/>
    <w:rsid w:val="00EE207F"/>
    <w:rsid w:val="00EE445F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EE75"/>
  <w15:chartTrackingRefBased/>
  <w15:docId w15:val="{AFB4D16A-5D7C-44D8-88AA-F677F823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C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8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8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deralregister.gov/documents/2024/09/13/2024-20674/reporting-procedur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Mary Ann Koelzer</cp:lastModifiedBy>
  <cp:revision>4</cp:revision>
  <dcterms:created xsi:type="dcterms:W3CDTF">2025-02-28T13:27:00Z</dcterms:created>
  <dcterms:modified xsi:type="dcterms:W3CDTF">2025-02-28T13:32:00Z</dcterms:modified>
</cp:coreProperties>
</file>